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E736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DCCD51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</w:p>
    <w:p w14:paraId="1ABDA04D" w14:textId="77777777" w:rsidR="008C1016" w:rsidRDefault="008C10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BB77D2" w14:textId="1F3252D5" w:rsidR="008C1016" w:rsidRPr="005B6195" w:rsidRDefault="005B6195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5B61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ПРИМЕРНЫЕ </w:t>
      </w:r>
      <w:r w:rsidR="00612075" w:rsidRPr="005B61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Вопросы</w:t>
      </w:r>
      <w:r w:rsidR="00612075" w:rsidRPr="005B61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 к экзамену</w:t>
      </w:r>
    </w:p>
    <w:p w14:paraId="5A65F6FC" w14:textId="77777777" w:rsidR="005B6195" w:rsidRDefault="006120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61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ПМ.03 Организация логистических процессов в транспортировке и </w:t>
      </w:r>
    </w:p>
    <w:p w14:paraId="6DF0A8ED" w14:textId="1CAE00EB" w:rsidR="008C1016" w:rsidRPr="005B6195" w:rsidRDefault="006120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6195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сервисном</w:t>
      </w:r>
      <w:r w:rsidRPr="005B6195">
        <w:rPr>
          <w:rFonts w:ascii="Times New Roman" w:hAnsi="Times New Roman" w:cs="Times New Roman"/>
          <w:b/>
          <w:bCs/>
          <w:spacing w:val="-57"/>
          <w:sz w:val="28"/>
          <w:szCs w:val="28"/>
          <w:lang w:val="ru-RU"/>
        </w:rPr>
        <w:t xml:space="preserve"> </w:t>
      </w:r>
      <w:r w:rsidR="005B6195" w:rsidRPr="005B6195">
        <w:rPr>
          <w:rFonts w:ascii="Times New Roman" w:hAnsi="Times New Roman" w:cs="Times New Roman"/>
          <w:b/>
          <w:bCs/>
          <w:spacing w:val="-57"/>
          <w:sz w:val="28"/>
          <w:szCs w:val="28"/>
          <w:lang w:val="ru-RU"/>
        </w:rPr>
        <w:t xml:space="preserve">        </w:t>
      </w:r>
      <w:r w:rsidRPr="005B61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обслуживании </w:t>
      </w:r>
    </w:p>
    <w:p w14:paraId="448D6CD5" w14:textId="77777777" w:rsidR="008C1016" w:rsidRPr="005B6195" w:rsidRDefault="008C10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94EE0A" w14:textId="77777777" w:rsidR="008C1016" w:rsidRPr="005B6195" w:rsidRDefault="008C10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7CB41F" w14:textId="77777777" w:rsidR="008C1016" w:rsidRPr="005B6195" w:rsidRDefault="006120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B619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МДК.03.01</w:t>
      </w:r>
      <w:r w:rsidRPr="005B6195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B6195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Транспортная</w:t>
      </w:r>
      <w:r w:rsidRPr="005B6195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5B619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логистика</w:t>
      </w:r>
    </w:p>
    <w:p w14:paraId="0716F5D6" w14:textId="77777777" w:rsidR="008C1016" w:rsidRDefault="00612075">
      <w:pPr>
        <w:pStyle w:val="ad"/>
        <w:widowControl/>
        <w:numPr>
          <w:ilvl w:val="0"/>
          <w:numId w:val="1"/>
        </w:numPr>
        <w:shd w:val="clear" w:color="auto" w:fill="FDFE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Характеристики видов транспорта с позиций логистики. </w:t>
      </w:r>
    </w:p>
    <w:p w14:paraId="16E1D967" w14:textId="77777777" w:rsidR="008C1016" w:rsidRDefault="00612075">
      <w:pPr>
        <w:pStyle w:val="ad"/>
        <w:widowControl/>
        <w:numPr>
          <w:ilvl w:val="0"/>
          <w:numId w:val="1"/>
        </w:numPr>
        <w:shd w:val="clear" w:color="auto" w:fill="FDFEF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Транспортировка как ключевая логистическая </w:t>
      </w:r>
      <w:r>
        <w:rPr>
          <w:rFonts w:ascii="Times New Roman" w:hAnsi="Times New Roman" w:cs="Times New Roman"/>
          <w:sz w:val="24"/>
          <w:szCs w:val="24"/>
          <w:lang w:val="ru-RU"/>
        </w:rPr>
        <w:t>функция, понятие транспортировки груза. Факторы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влияющие на выбор вида транспорта.</w:t>
      </w:r>
    </w:p>
    <w:p w14:paraId="715E02E8" w14:textId="77777777" w:rsidR="008C1016" w:rsidRDefault="00612075">
      <w:pPr>
        <w:pStyle w:val="ae"/>
        <w:numPr>
          <w:ilvl w:val="0"/>
          <w:numId w:val="1"/>
        </w:numPr>
        <w:ind w:left="567"/>
        <w:jc w:val="both"/>
      </w:pPr>
      <w:r>
        <w:rPr>
          <w:rFonts w:eastAsia="Calibri"/>
        </w:rPr>
        <w:t>Терминальные перевозки.</w:t>
      </w:r>
    </w:p>
    <w:p w14:paraId="3EA26ADA" w14:textId="77777777" w:rsidR="008C1016" w:rsidRDefault="00612075">
      <w:pPr>
        <w:pStyle w:val="ae"/>
        <w:numPr>
          <w:ilvl w:val="0"/>
          <w:numId w:val="1"/>
        </w:numPr>
        <w:ind w:left="567"/>
        <w:jc w:val="both"/>
      </w:pPr>
      <w:r>
        <w:rPr>
          <w:rFonts w:eastAsia="Calibri"/>
        </w:rPr>
        <w:t>Виды маршрутов для перевозки грузов: маятниковые, веерные, кольцевые</w:t>
      </w:r>
      <w:r>
        <w:t>.</w:t>
      </w:r>
    </w:p>
    <w:p w14:paraId="77EA0EAD" w14:textId="77777777" w:rsidR="008C1016" w:rsidRDefault="00612075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Транспортные тарифы: виды, классификация, условия применения.</w:t>
      </w:r>
    </w:p>
    <w:p w14:paraId="6941E8BF" w14:textId="77777777" w:rsidR="008C1016" w:rsidRDefault="00612075">
      <w:pPr>
        <w:pStyle w:val="ad"/>
        <w:numPr>
          <w:ilvl w:val="0"/>
          <w:numId w:val="1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транспо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ртная документация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 перевозки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грузов.</w:t>
      </w:r>
    </w:p>
    <w:p w14:paraId="208AE8CA" w14:textId="77777777" w:rsidR="008C1016" w:rsidRDefault="00612075">
      <w:pPr>
        <w:pStyle w:val="ae"/>
        <w:numPr>
          <w:ilvl w:val="0"/>
          <w:numId w:val="1"/>
        </w:numPr>
        <w:ind w:left="567"/>
        <w:jc w:val="both"/>
      </w:pPr>
      <w:r>
        <w:t>Принципы формирования затрат на транспортировку.</w:t>
      </w:r>
    </w:p>
    <w:p w14:paraId="0C115B76" w14:textId="77777777" w:rsidR="008C1016" w:rsidRDefault="00612075">
      <w:pPr>
        <w:pStyle w:val="ae"/>
        <w:numPr>
          <w:ilvl w:val="0"/>
          <w:numId w:val="1"/>
        </w:numPr>
        <w:ind w:left="567"/>
        <w:jc w:val="both"/>
      </w:pPr>
      <w:r>
        <w:t>Факторы, влияющие на выбор вида транспорта для перевозки груза.</w:t>
      </w:r>
    </w:p>
    <w:p w14:paraId="10EE7BB0" w14:textId="77777777" w:rsidR="008C1016" w:rsidRDefault="00612075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понятия экспедирования грузов.</w:t>
      </w:r>
    </w:p>
    <w:p w14:paraId="280BBCCC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</w:pPr>
      <w:r>
        <w:t xml:space="preserve">Транспорт как отрасль народного хозяйства, ее </w:t>
      </w:r>
      <w:r>
        <w:t>отличительные особенности.</w:t>
      </w:r>
    </w:p>
    <w:p w14:paraId="655697E1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</w:pPr>
      <w:r>
        <w:t>Логистическая концепция построения модели транспортного обслуживания.</w:t>
      </w:r>
    </w:p>
    <w:p w14:paraId="460D6E4D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</w:pPr>
      <w:r>
        <w:t>Основные методы снижения транспортных расходов.</w:t>
      </w:r>
    </w:p>
    <w:p w14:paraId="0C4D5877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color w:val="000000"/>
        </w:rPr>
      </w:pPr>
      <w:r>
        <w:t xml:space="preserve">Оптимизации транспортных процессов. Методы оптимизации. </w:t>
      </w:r>
    </w:p>
    <w:p w14:paraId="0E479491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color w:val="000000"/>
        </w:rPr>
      </w:pPr>
      <w:r>
        <w:t xml:space="preserve">Комплект документов при перевозке </w:t>
      </w:r>
      <w:r>
        <w:t>железнодорожным транспортом.</w:t>
      </w:r>
    </w:p>
    <w:p w14:paraId="6B1B2F27" w14:textId="77777777" w:rsidR="008C1016" w:rsidRDefault="00612075">
      <w:pPr>
        <w:pStyle w:val="ad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Документация при перевозке морским транспортом. Коносамент.</w:t>
      </w:r>
    </w:p>
    <w:p w14:paraId="0CECD904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color w:val="000000"/>
        </w:rPr>
      </w:pPr>
      <w:r>
        <w:t xml:space="preserve">Задачи транспортной логистики. </w:t>
      </w:r>
    </w:p>
    <w:p w14:paraId="754E2D04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color w:val="000000"/>
        </w:rPr>
      </w:pPr>
      <w:r>
        <w:t>Виды договоров перевозки грузов.</w:t>
      </w:r>
    </w:p>
    <w:p w14:paraId="5321E5FE" w14:textId="77777777" w:rsidR="008C1016" w:rsidRDefault="00612075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</w:pPr>
      <w:r>
        <w:t>Виды груза.</w:t>
      </w:r>
    </w:p>
    <w:p w14:paraId="56811EB5" w14:textId="77777777" w:rsidR="008C1016" w:rsidRDefault="008C1016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3283F300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0E1A66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1774E6" w14:textId="77777777" w:rsidR="008C1016" w:rsidRDefault="006120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МДК.03.02</w:t>
      </w:r>
      <w:r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Логистика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сервисного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обслуживания </w:t>
      </w:r>
    </w:p>
    <w:p w14:paraId="19EC7E17" w14:textId="77777777" w:rsidR="008C1016" w:rsidRDefault="00612075">
      <w:pPr>
        <w:pStyle w:val="ad"/>
        <w:widowControl/>
        <w:numPr>
          <w:ilvl w:val="0"/>
          <w:numId w:val="2"/>
        </w:numPr>
        <w:shd w:val="clear" w:color="auto" w:fill="FDFEFF"/>
        <w:ind w:left="20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Понятие и о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ADE65D" w14:textId="77777777" w:rsidR="008C1016" w:rsidRDefault="00612075">
      <w:pPr>
        <w:pStyle w:val="ad"/>
        <w:widowControl/>
        <w:numPr>
          <w:ilvl w:val="0"/>
          <w:numId w:val="2"/>
        </w:numPr>
        <w:shd w:val="clear" w:color="auto" w:fill="FFFFFF"/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араметры измерения качества сервиса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A6B457E" w14:textId="77777777" w:rsidR="008C1016" w:rsidRDefault="00612075">
      <w:pPr>
        <w:pStyle w:val="ae"/>
        <w:numPr>
          <w:ilvl w:val="0"/>
          <w:numId w:val="2"/>
        </w:numPr>
        <w:ind w:left="207"/>
        <w:jc w:val="both"/>
      </w:pPr>
      <w:r>
        <w:rPr>
          <w:color w:val="000000"/>
        </w:rPr>
        <w:t>Сервисное обслуживание при продвижении различного рода логистических потоков</w:t>
      </w:r>
      <w:r>
        <w:t>.</w:t>
      </w:r>
    </w:p>
    <w:p w14:paraId="1055C619" w14:textId="77777777" w:rsidR="008C1016" w:rsidRDefault="00612075">
      <w:pPr>
        <w:pStyle w:val="ae"/>
        <w:numPr>
          <w:ilvl w:val="0"/>
          <w:numId w:val="2"/>
        </w:numPr>
        <w:ind w:left="207"/>
        <w:jc w:val="both"/>
      </w:pPr>
      <w:r>
        <w:rPr>
          <w:color w:val="000000"/>
        </w:rPr>
        <w:t>Логистические услуги, оказываемые предприятиями (производителями и оптовыми торговыми фирмами) розничным торговым структу</w:t>
      </w:r>
      <w:r>
        <w:rPr>
          <w:color w:val="000000"/>
        </w:rPr>
        <w:t>рам</w:t>
      </w:r>
      <w:r>
        <w:t xml:space="preserve">. Виды услуг, требуемые </w:t>
      </w:r>
      <w:r>
        <w:rPr>
          <w:color w:val="000000"/>
        </w:rPr>
        <w:t xml:space="preserve">розничными предприятиями к поставщикам. </w:t>
      </w:r>
    </w:p>
    <w:p w14:paraId="459D5FF5" w14:textId="77777777" w:rsidR="008C1016" w:rsidRDefault="00612075">
      <w:pPr>
        <w:pStyle w:val="ae"/>
        <w:numPr>
          <w:ilvl w:val="0"/>
          <w:numId w:val="2"/>
        </w:numPr>
        <w:ind w:left="207"/>
        <w:jc w:val="both"/>
      </w:pPr>
      <w:r>
        <w:rPr>
          <w:color w:val="000000"/>
        </w:rPr>
        <w:t xml:space="preserve"> </w:t>
      </w:r>
      <w:r>
        <w:rPr>
          <w:color w:val="000000"/>
        </w:rPr>
        <w:t>Виды логистического обслуживания в розничной торговле.</w:t>
      </w:r>
    </w:p>
    <w:p w14:paraId="417720A8" w14:textId="77777777" w:rsidR="008C1016" w:rsidRDefault="00612075">
      <w:pPr>
        <w:pStyle w:val="ad"/>
        <w:numPr>
          <w:ilvl w:val="0"/>
          <w:numId w:val="2"/>
        </w:numPr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Формирование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системы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логистического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сервиса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 w14:paraId="122CA107" w14:textId="77777777" w:rsidR="008C1016" w:rsidRDefault="00612075">
      <w:pPr>
        <w:pStyle w:val="ae"/>
        <w:numPr>
          <w:ilvl w:val="0"/>
          <w:numId w:val="2"/>
        </w:numPr>
        <w:ind w:left="207"/>
        <w:jc w:val="both"/>
        <w:rPr>
          <w:color w:val="000000"/>
        </w:rPr>
      </w:pPr>
      <w:r>
        <w:rPr>
          <w:color w:val="000000"/>
        </w:rPr>
        <w:t>Этапы оценки качества услуг</w:t>
      </w:r>
      <w:r>
        <w:rPr>
          <w:rStyle w:val="a4"/>
          <w:b w:val="0"/>
          <w:bCs w:val="0"/>
        </w:rPr>
        <w:t>.</w:t>
      </w:r>
    </w:p>
    <w:p w14:paraId="552A54C5" w14:textId="77777777" w:rsidR="008C1016" w:rsidRDefault="00612075">
      <w:pPr>
        <w:pStyle w:val="ae"/>
        <w:numPr>
          <w:ilvl w:val="0"/>
          <w:numId w:val="2"/>
        </w:numPr>
        <w:ind w:left="207"/>
        <w:jc w:val="both"/>
        <w:rPr>
          <w:color w:val="000000"/>
        </w:rPr>
      </w:pPr>
      <w:r>
        <w:rPr>
          <w:color w:val="000000"/>
        </w:rPr>
        <w:t xml:space="preserve">Основные причины несогласованности между выходом </w:t>
      </w:r>
      <w:r>
        <w:rPr>
          <w:color w:val="000000"/>
        </w:rPr>
        <w:t>логистической системы, производящей услуги, и входом системы потребления услуг (потребителем)</w:t>
      </w:r>
      <w:r>
        <w:t xml:space="preserve">.  </w:t>
      </w:r>
    </w:p>
    <w:p w14:paraId="5402F17E" w14:textId="77777777" w:rsidR="008C1016" w:rsidRDefault="00612075">
      <w:pPr>
        <w:pStyle w:val="ae"/>
        <w:numPr>
          <w:ilvl w:val="0"/>
          <w:numId w:val="2"/>
        </w:numPr>
        <w:ind w:left="207"/>
        <w:jc w:val="both"/>
        <w:rPr>
          <w:color w:val="000000"/>
        </w:rPr>
      </w:pPr>
      <w:r>
        <w:rPr>
          <w:kern w:val="16"/>
        </w:rPr>
        <w:t>Основные категории услуг (элементов) при обслуживании клиентов</w:t>
      </w:r>
      <w:r>
        <w:t xml:space="preserve">. </w:t>
      </w:r>
    </w:p>
    <w:p w14:paraId="0FF74625" w14:textId="77777777" w:rsidR="008C1016" w:rsidRDefault="00612075">
      <w:pPr>
        <w:pStyle w:val="ae"/>
        <w:numPr>
          <w:ilvl w:val="0"/>
          <w:numId w:val="2"/>
        </w:numPr>
        <w:ind w:left="207"/>
        <w:jc w:val="both"/>
        <w:rPr>
          <w:color w:val="000000"/>
        </w:rPr>
      </w:pPr>
      <w:r>
        <w:rPr>
          <w:color w:val="000000"/>
          <w:kern w:val="36"/>
        </w:rPr>
        <w:t>Уровень сервиса и затраты на сервис</w:t>
      </w:r>
      <w:r>
        <w:t xml:space="preserve">. </w:t>
      </w:r>
    </w:p>
    <w:p w14:paraId="1C4AA4FA" w14:textId="77777777" w:rsidR="008C1016" w:rsidRDefault="00612075">
      <w:pPr>
        <w:pStyle w:val="ae"/>
        <w:numPr>
          <w:ilvl w:val="0"/>
          <w:numId w:val="2"/>
        </w:numPr>
        <w:ind w:left="207"/>
        <w:jc w:val="both"/>
        <w:rPr>
          <w:color w:val="000000"/>
        </w:rPr>
      </w:pPr>
      <w:r>
        <w:rPr>
          <w:kern w:val="16"/>
        </w:rPr>
        <w:t>Схема взаимодействия логистики и маркетинга при формиров</w:t>
      </w:r>
      <w:r>
        <w:rPr>
          <w:kern w:val="16"/>
        </w:rPr>
        <w:t>ании логистического сервиса.</w:t>
      </w:r>
      <w:r>
        <w:t xml:space="preserve"> </w:t>
      </w:r>
    </w:p>
    <w:p w14:paraId="76A7D2C0" w14:textId="77777777" w:rsidR="008C1016" w:rsidRDefault="00612075">
      <w:pPr>
        <w:pStyle w:val="ad"/>
        <w:numPr>
          <w:ilvl w:val="0"/>
          <w:numId w:val="2"/>
        </w:numPr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Схема взаимодействия смежных служб при управлении логистическим сервисом.</w:t>
      </w:r>
    </w:p>
    <w:p w14:paraId="1F4CF7FA" w14:textId="77777777" w:rsidR="008C1016" w:rsidRDefault="00612075">
      <w:pPr>
        <w:pStyle w:val="ab"/>
        <w:numPr>
          <w:ilvl w:val="0"/>
          <w:numId w:val="2"/>
        </w:numPr>
        <w:spacing w:before="0" w:beforeAutospacing="0" w:after="0" w:afterAutospacing="0"/>
        <w:ind w:left="207"/>
        <w:jc w:val="both"/>
        <w:rPr>
          <w:color w:val="000000"/>
        </w:rPr>
      </w:pPr>
      <w:r>
        <w:rPr>
          <w:color w:val="000000"/>
        </w:rPr>
        <w:t>Оценка уровня логистического сервиса.</w:t>
      </w:r>
    </w:p>
    <w:p w14:paraId="66D1FEC5" w14:textId="77777777" w:rsidR="008C1016" w:rsidRDefault="00612075">
      <w:pPr>
        <w:pStyle w:val="ab"/>
        <w:numPr>
          <w:ilvl w:val="0"/>
          <w:numId w:val="2"/>
        </w:numPr>
        <w:spacing w:before="0" w:beforeAutospacing="0" w:after="0" w:afterAutospacing="0"/>
        <w:ind w:left="207"/>
        <w:jc w:val="both"/>
      </w:pPr>
      <w:r>
        <w:rPr>
          <w:kern w:val="16"/>
        </w:rPr>
        <w:t>Выбор стратегии обслуживания клиентов</w:t>
      </w:r>
      <w:r>
        <w:t xml:space="preserve">. </w:t>
      </w:r>
    </w:p>
    <w:p w14:paraId="2127BA50" w14:textId="77777777" w:rsidR="008C1016" w:rsidRDefault="00612075">
      <w:pPr>
        <w:pStyle w:val="ab"/>
        <w:numPr>
          <w:ilvl w:val="0"/>
          <w:numId w:val="2"/>
        </w:numPr>
        <w:spacing w:before="0" w:beforeAutospacing="0" w:after="0" w:afterAutospacing="0"/>
        <w:ind w:left="207"/>
        <w:jc w:val="both"/>
        <w:rPr>
          <w:color w:val="000000"/>
        </w:rPr>
      </w:pPr>
      <w:r>
        <w:rPr>
          <w:color w:val="000000"/>
        </w:rPr>
        <w:t>Компоненты (параметры) измерения качества сервиса</w:t>
      </w:r>
      <w:r>
        <w:t>.</w:t>
      </w:r>
    </w:p>
    <w:p w14:paraId="0C235460" w14:textId="77777777" w:rsidR="008C1016" w:rsidRDefault="00612075">
      <w:pPr>
        <w:pStyle w:val="ab"/>
        <w:numPr>
          <w:ilvl w:val="0"/>
          <w:numId w:val="2"/>
        </w:numPr>
        <w:spacing w:before="0" w:beforeAutospacing="0" w:after="0" w:afterAutospacing="0"/>
        <w:ind w:left="207"/>
        <w:jc w:val="both"/>
        <w:rPr>
          <w:color w:val="000000"/>
        </w:rPr>
      </w:pPr>
      <w:r>
        <w:t xml:space="preserve">Понятие, цели, </w:t>
      </w:r>
      <w:r>
        <w:t xml:space="preserve">задачи сервисной логистики. Виды логистического сервиса. </w:t>
      </w:r>
    </w:p>
    <w:p w14:paraId="42689B06" w14:textId="77777777" w:rsidR="008C1016" w:rsidRDefault="00612075">
      <w:pPr>
        <w:pStyle w:val="ae"/>
        <w:numPr>
          <w:ilvl w:val="0"/>
          <w:numId w:val="2"/>
        </w:numPr>
        <w:ind w:left="207"/>
        <w:jc w:val="both"/>
      </w:pPr>
      <w:r>
        <w:rPr>
          <w:color w:val="000000"/>
        </w:rPr>
        <w:t>Основные причины несогласованности между выходом логистической системы, производящей услуги, и входом системы потребления услуг (потребителем)</w:t>
      </w:r>
      <w:r>
        <w:t xml:space="preserve">. </w:t>
      </w:r>
    </w:p>
    <w:p w14:paraId="42101F34" w14:textId="77777777" w:rsidR="008C1016" w:rsidRDefault="00612075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</w:pPr>
      <w:r>
        <w:lastRenderedPageBreak/>
        <w:t xml:space="preserve">Понятие сервисной логистики и </w:t>
      </w:r>
      <w:r>
        <w:rPr>
          <w:color w:val="000000"/>
        </w:rPr>
        <w:t>сервисное обслуживание при продвижении различного рода логистических потоков</w:t>
      </w:r>
      <w:r>
        <w:t>.</w:t>
      </w:r>
    </w:p>
    <w:p w14:paraId="7F89E88D" w14:textId="77777777" w:rsidR="008C1016" w:rsidRDefault="008C1016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68AB612E" w14:textId="77777777" w:rsidR="008C1016" w:rsidRDefault="008C1016">
      <w:pPr>
        <w:pStyle w:val="ad"/>
        <w:widowControl/>
        <w:shd w:val="clear" w:color="auto" w:fill="FDFEFF"/>
        <w:spacing w:before="100" w:beforeAutospacing="1" w:after="100" w:afterAutospacing="1" w:line="259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BC1A93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542C5A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0366651" w14:textId="77777777" w:rsidR="008C1016" w:rsidRDefault="00612075">
      <w:pPr>
        <w:widowControl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</w:t>
      </w:r>
    </w:p>
    <w:p w14:paraId="52000160" w14:textId="77777777" w:rsidR="008C1016" w:rsidRPr="005B6195" w:rsidRDefault="00612075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Примеры</w:t>
      </w:r>
      <w:r w:rsidRPr="005B619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 решением</w:t>
      </w:r>
    </w:p>
    <w:p w14:paraId="65419272" w14:textId="77777777" w:rsidR="008C1016" w:rsidRDefault="00612075">
      <w:pPr>
        <w:pStyle w:val="ad"/>
        <w:widowControl/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135484579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Рассчитайте общие затраты при транспортировке различными видами транспорта и внесите их в таблицу. Определите оптимальный вид транспорта при доставке грузов.</w:t>
      </w:r>
    </w:p>
    <w:p w14:paraId="1F9BFFB3" w14:textId="77777777" w:rsidR="008C1016" w:rsidRDefault="00612075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 о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затратах при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доставке груза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различными видами транспорта.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554"/>
        <w:gridCol w:w="1555"/>
        <w:gridCol w:w="1546"/>
        <w:gridCol w:w="1546"/>
        <w:gridCol w:w="1546"/>
      </w:tblGrid>
      <w:tr w:rsidR="008C1016" w:rsidRPr="005B6195" w14:paraId="2050BCE1" w14:textId="77777777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92A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082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9D34E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D7F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Переменные затраты на 1 кг груза, руб.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C22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затраты на доставку груза, руб. при весе груза в тоннах</w:t>
            </w:r>
          </w:p>
        </w:tc>
      </w:tr>
      <w:tr w:rsidR="008C1016" w14:paraId="4FD0125B" w14:textId="77777777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620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90EB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524C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007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E08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94F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C1016" w14:paraId="778CC2C7" w14:textId="7777777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5D11E9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850438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FF9377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C8FBC5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6F8F9B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E4FB61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8C1016" w14:paraId="27753FA5" w14:textId="7777777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6F3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Жд.Транспорт</w:t>
            </w:r>
            <w:proofErr w:type="spellEnd"/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F74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3A1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CD6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42B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B13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6" w14:paraId="4B67B40A" w14:textId="7777777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6B51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C1E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EA2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E7C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89A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F58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6" w14:paraId="1031C0F8" w14:textId="7777777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1C8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0CE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EEE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755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FEC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4A0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16" w14:paraId="59BE79EE" w14:textId="77777777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AF54" w14:textId="77777777" w:rsidR="008C1016" w:rsidRDefault="0061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891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2C8" w14:textId="77777777" w:rsidR="008C1016" w:rsidRDefault="00612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DA9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F6B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93C" w14:textId="77777777" w:rsidR="008C1016" w:rsidRDefault="008C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589851" w14:textId="77777777" w:rsidR="008C1016" w:rsidRDefault="008C1016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10D85B1B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Общие издержки на доставку продукции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различными видами транспорта рассчитывается по следующей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формуле: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72BE210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</w:t>
      </w:r>
      <w:r>
        <w:rPr>
          <w:rFonts w:ascii="Times New Roman" w:hAnsi="Times New Roman" w:cs="Times New Roman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gFi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proofErr w:type="spellStart"/>
      <w:r>
        <w:rPr>
          <w:rFonts w:ascii="Times New Roman" w:hAnsi="Times New Roman" w:cs="Times New Roman"/>
          <w:sz w:val="24"/>
          <w:szCs w:val="24"/>
        </w:rPr>
        <w:t>gVi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hAnsi="Times New Roman" w:cs="Times New Roman"/>
          <w:sz w:val="24"/>
          <w:szCs w:val="24"/>
        </w:rPr>
        <w:t>Qi   </w:t>
      </w:r>
    </w:p>
    <w:p w14:paraId="498C760D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Где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gFi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постоянные затраты при перевозке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14:paraId="2C999C54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     </w:t>
      </w:r>
      <w:proofErr w:type="spellStart"/>
      <w:r>
        <w:rPr>
          <w:rFonts w:ascii="Times New Roman" w:hAnsi="Times New Roman" w:cs="Times New Roman"/>
          <w:sz w:val="24"/>
          <w:szCs w:val="24"/>
        </w:rPr>
        <w:t>gVi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переменные затраты на 1 кг груза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.);</w:t>
      </w:r>
    </w:p>
    <w:p w14:paraId="1C0F008F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масса перевозимого груза (тонн).</w:t>
      </w:r>
    </w:p>
    <w:p w14:paraId="069530B7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1 тонна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= 1000 кг.</w:t>
      </w:r>
    </w:p>
    <w:p w14:paraId="247A89E4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1) 50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+ 0,05 * 100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55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(общие издержки по доставке железнодорожным видом транспорта при </w:t>
      </w:r>
      <w:r>
        <w:rPr>
          <w:rFonts w:ascii="Times New Roman" w:hAnsi="Times New Roman" w:cs="Times New Roman"/>
          <w:sz w:val="24"/>
          <w:szCs w:val="24"/>
          <w:lang w:val="ru-RU"/>
        </w:rPr>
        <w:t>массе груза 100 тонн);</w:t>
      </w:r>
    </w:p>
    <w:p w14:paraId="0C08A628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2) 30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+ 0,01 * 100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40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автотранспортом видом транспорта при массе груза 100 тонн);</w:t>
      </w:r>
    </w:p>
    <w:p w14:paraId="42DAF418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3) 10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+ 0,25 * 100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35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воздушным видом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транспорта при массе груза 100 тонн);</w:t>
      </w:r>
    </w:p>
    <w:p w14:paraId="64D312F6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4) 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+ 0,40 * 100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45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водным видом транспорта при массе груза 100 тонн).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108B43D5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1) 50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+ 0,05 * 200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60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(общие издержки по доставке </w:t>
      </w:r>
      <w:r>
        <w:rPr>
          <w:rFonts w:ascii="Times New Roman" w:hAnsi="Times New Roman" w:cs="Times New Roman"/>
          <w:sz w:val="24"/>
          <w:szCs w:val="24"/>
          <w:lang w:val="ru-RU"/>
        </w:rPr>
        <w:t>железнодорожным видом транспорта при массе груза 200 тонн);</w:t>
      </w:r>
    </w:p>
    <w:p w14:paraId="49B5FB66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2) 30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+ 0,01 * 200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50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автотранспортом видом транспорта при массе груза 200 тонн);</w:t>
      </w:r>
    </w:p>
    <w:p w14:paraId="657A5AA9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3) 10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+ 0,25 * 200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60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издержки по доставке воздушным видом транспорта при массе груза 200 тонн);</w:t>
      </w:r>
    </w:p>
    <w:p w14:paraId="21F4E0BC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4) 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+ 0,40 * 200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85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водным видом транспорта при массе груза 200 тонн).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4A5E4FE2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1) 50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+ 0,05 * 500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75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(общие издержки по доставке железнодорожным видом транспорта при массе груза 500 тонн);</w:t>
      </w:r>
    </w:p>
    <w:p w14:paraId="1F2B64CC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2) 30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+ 0,01 * 500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80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автотранспортом видом транспорта при массе груза 500 тонн);</w:t>
      </w:r>
    </w:p>
    <w:p w14:paraId="5EC6BBD3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3) 10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+ 0,25 * 500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135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(общие издержки по доставке воздушным видом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транспорта при массе груза 500 тонн);</w:t>
      </w:r>
    </w:p>
    <w:p w14:paraId="09208611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4) 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+ 0,40 * 500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000 = 205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(общие издержки по доставке водным видом транспорта при массе груза 500 тонн).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FC3E9AE" w14:textId="77777777" w:rsidR="008C1016" w:rsidRDefault="006120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Вывод: при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доставке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груза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весом 100 тонн наиболее экономичным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является использование воздушного транспорта, при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доставке груза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весом 200 тонн наиболее экономичным является использование автотранспорта, при доставке груза весом 500 тонн наиболее экономичным является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железнодорожного транспорта.</w:t>
      </w:r>
      <w:r>
        <w:rPr>
          <w:rFonts w:ascii="Times New Roman" w:hAnsi="Times New Roman" w:cs="Times New Roman"/>
          <w:sz w:val="24"/>
          <w:szCs w:val="24"/>
        </w:rPr>
        <w:t> </w:t>
      </w:r>
    </w:p>
    <w:bookmarkEnd w:id="0"/>
    <w:p w14:paraId="59E89831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2383CA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83BD1E" w14:textId="77777777" w:rsidR="008C1016" w:rsidRDefault="00612075">
      <w:pPr>
        <w:pStyle w:val="ad"/>
        <w:widowControl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KPI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«Надежность доставки в цепи поставок».</w:t>
      </w:r>
    </w:p>
    <w:p w14:paraId="54FAEE7B" w14:textId="77777777" w:rsidR="008C1016" w:rsidRDefault="00612075">
      <w:pPr>
        <w:ind w:left="851"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1)Определить качество обслуживания покупателей (доля «совершенных заказов»). Общее количество заказов в месяц 4500. 4137 заказов были доставлены покупателям </w:t>
      </w:r>
      <w:r>
        <w:rPr>
          <w:rFonts w:ascii="Times New Roman" w:hAnsi="Times New Roman" w:cs="Times New Roman"/>
          <w:sz w:val="24"/>
          <w:szCs w:val="24"/>
          <w:lang w:val="ru-RU"/>
        </w:rPr>
        <w:t>в нужное время в нужном количестве. В 173 заказах были нарушены сроки.</w:t>
      </w:r>
    </w:p>
    <w:p w14:paraId="399BC292" w14:textId="77777777" w:rsidR="008C1016" w:rsidRDefault="00612075">
      <w:pPr>
        <w:ind w:left="851" w:hanging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Оценить работу службы доставки с точки зрения клиентов (претензии потребителей, %). Общее количество заказов в месяц 4500. 12 претензий были получены от клиентов по телефону и через </w:t>
      </w:r>
      <w:r>
        <w:rPr>
          <w:rFonts w:ascii="Times New Roman" w:hAnsi="Times New Roman" w:cs="Times New Roman"/>
          <w:sz w:val="24"/>
          <w:szCs w:val="24"/>
          <w:lang w:val="ru-RU"/>
        </w:rPr>
        <w:t>прямой контакт.</w:t>
      </w:r>
    </w:p>
    <w:p w14:paraId="2784255F" w14:textId="77777777" w:rsidR="008C1016" w:rsidRDefault="008C10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9A682F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Решение: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1)В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173 заказах были нарушены сроки</w:t>
      </w:r>
    </w:p>
    <w:p w14:paraId="259B8F2B" w14:textId="77777777" w:rsidR="008C1016" w:rsidRDefault="00612075">
      <w:pPr>
        <w:pStyle w:val="ad"/>
        <w:widowControl/>
        <w:shd w:val="clear" w:color="auto" w:fill="FFFFFF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% совершенных заказов: 4327/4500 х 100%=96,2%</w:t>
      </w:r>
    </w:p>
    <w:p w14:paraId="5BD03205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2)Претензии потребителей. 12 / 4500 х 100 = 0,3 %</w:t>
      </w:r>
    </w:p>
    <w:p w14:paraId="5D1BDC01" w14:textId="77777777" w:rsidR="008C1016" w:rsidRDefault="008C1016">
      <w:pPr>
        <w:pStyle w:val="ad"/>
        <w:widowControl/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0D40BAD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D0A23F" w14:textId="77777777" w:rsidR="008C1016" w:rsidRDefault="00612075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KPI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«Затраты в цепи поставок».</w:t>
      </w:r>
    </w:p>
    <w:p w14:paraId="2BED1FC8" w14:textId="77777777" w:rsidR="008C1016" w:rsidRDefault="0061207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Рассчитать общие логистические издержки в %. Все затраты на складирование, транспортировку, управление и администрирование, так же на упаковку и управление возвратными потоками – 50000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общий объем продаж 4 000 000 000. </w:t>
      </w:r>
    </w:p>
    <w:p w14:paraId="42E90DC7" w14:textId="77777777" w:rsidR="008C1016" w:rsidRDefault="00612075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</w:t>
      </w:r>
      <w:r>
        <w:rPr>
          <w:rFonts w:ascii="Times New Roman" w:hAnsi="Times New Roman" w:cs="Times New Roman"/>
          <w:sz w:val="24"/>
          <w:szCs w:val="24"/>
          <w:lang w:val="ru-RU"/>
        </w:rPr>
        <w:t>еделить удельные затраты на складирование и транспортировку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/т). Общие затраты на складирование транспортировку за месяц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 500000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руб., общий вес проданных товаров  - 8 т.</w:t>
      </w:r>
    </w:p>
    <w:p w14:paraId="01C26822" w14:textId="77777777" w:rsidR="008C1016" w:rsidRDefault="008C1016">
      <w:pPr>
        <w:pStyle w:val="ad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2195DA" w14:textId="77777777" w:rsidR="008C1016" w:rsidRDefault="0061207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Решение: </w:t>
      </w:r>
    </w:p>
    <w:p w14:paraId="157E9A33" w14:textId="77777777" w:rsidR="008C1016" w:rsidRDefault="006120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50000 /4 000 000 000 х 100 =0,13%</w:t>
      </w:r>
    </w:p>
    <w:p w14:paraId="34EE6461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Удельные затраты на </w:t>
      </w:r>
      <w:r>
        <w:rPr>
          <w:rFonts w:ascii="Times New Roman" w:hAnsi="Times New Roman" w:cs="Times New Roman"/>
          <w:sz w:val="24"/>
          <w:szCs w:val="24"/>
          <w:lang w:val="ru-RU"/>
        </w:rPr>
        <w:t>складирование и транспортировку = 500000 / 8т = 6250 руб./т</w:t>
      </w:r>
    </w:p>
    <w:p w14:paraId="388DAC83" w14:textId="77777777" w:rsidR="008C1016" w:rsidRDefault="008C101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E1FFE2D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66BCFF" w14:textId="77777777" w:rsidR="008C1016" w:rsidRDefault="00612075">
      <w:pPr>
        <w:pStyle w:val="ab"/>
        <w:shd w:val="clear" w:color="auto" w:fill="FDFEFF"/>
        <w:spacing w:before="0" w:beforeAutospacing="0" w:after="0" w:afterAutospacing="0"/>
        <w:jc w:val="both"/>
      </w:pPr>
      <w:r>
        <w:rPr>
          <w:b/>
          <w:bCs/>
        </w:rPr>
        <w:t>Задача</w:t>
      </w:r>
      <w:r>
        <w:rPr>
          <w:b/>
          <w:bCs/>
        </w:rPr>
        <w:t xml:space="preserve"> 4</w:t>
      </w:r>
      <w:r>
        <w:rPr>
          <w:b/>
          <w:bCs/>
        </w:rPr>
        <w:t xml:space="preserve">. </w:t>
      </w:r>
      <w:r>
        <w:rPr>
          <w:lang w:val="en-US"/>
        </w:rPr>
        <w:t>KPI</w:t>
      </w:r>
      <w:r>
        <w:t xml:space="preserve"> «Эффективность управления логистическими активами в цепи поставок».</w:t>
      </w:r>
    </w:p>
    <w:p w14:paraId="2C6D4267" w14:textId="77777777" w:rsidR="008C1016" w:rsidRDefault="0061207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Определить запас упаковочной продукции (в днях). На конец месяца запас компании 300 шт. Прогноз продаж на следую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щий месяц 1600 шт.   В месяце 30 дней. </w:t>
      </w:r>
    </w:p>
    <w:p w14:paraId="769932FF" w14:textId="77777777" w:rsidR="008C1016" w:rsidRDefault="008C1016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E4648B6" w14:textId="77777777" w:rsidR="008C1016" w:rsidRDefault="00612075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Решение: 1600/30 дней = 53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1 день</w:t>
      </w:r>
    </w:p>
    <w:p w14:paraId="1960537F" w14:textId="77777777" w:rsidR="008C1016" w:rsidRDefault="0061207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Запас = 300 / 53 =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  дней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хранения </w:t>
      </w:r>
    </w:p>
    <w:p w14:paraId="1F6FFFD6" w14:textId="77777777" w:rsidR="008C1016" w:rsidRDefault="008C1016">
      <w:pPr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26B68046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63B481" w14:textId="77777777" w:rsidR="008C1016" w:rsidRDefault="00612075">
      <w:pPr>
        <w:pStyle w:val="ad"/>
        <w:widowControl/>
        <w:shd w:val="clear" w:color="auto" w:fill="FDFEFF"/>
        <w:spacing w:before="150" w:after="225" w:line="25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Найти показатель «готовность к поставке», если известно, что фактический объем поставок продукции в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составил 1440 т при 16 поставках, что характеризует товарооборот склада фирмы за год, при этом планировалось – 14 поставок, фактический объем поставляемой партии составил 75 % от запланированного. Затраты фирмы на логистику составили 2,5 млн. руб. Стоимост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 1 т груза – 40000 руб.</w:t>
      </w:r>
    </w:p>
    <w:p w14:paraId="06107FC0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Решение:</w:t>
      </w:r>
    </w:p>
    <w:p w14:paraId="420195C8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поставке. Показатель используется как для оценки собственного уровня сервиса, так и для оценки уровня сервиса поставщика:</w:t>
      </w:r>
    </w:p>
    <w:p w14:paraId="51DBF9DD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=m*100/M,</w:t>
      </w:r>
    </w:p>
    <w:p w14:paraId="7F0D75D0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готовность к поставке;</w:t>
      </w:r>
    </w:p>
    <w:p w14:paraId="426DA74C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m – фактический объем поставок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количественном выражении;</w:t>
      </w:r>
    </w:p>
    <w:p w14:paraId="03B7D678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 – запланированный объем в количественном выражении.</w:t>
      </w:r>
    </w:p>
    <w:p w14:paraId="3EAB747D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 = (1440/16)/75% * 100% * 14= 1680 т.</w:t>
      </w:r>
    </w:p>
    <w:p w14:paraId="52A0B068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= 1440/1680 * 100% = 85,7%.</w:t>
      </w:r>
    </w:p>
    <w:p w14:paraId="799C6D2E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1157108" w14:textId="77777777" w:rsidR="008C1016" w:rsidRDefault="00612075">
      <w:pPr>
        <w:pStyle w:val="ad"/>
        <w:widowControl/>
        <w:shd w:val="clear" w:color="auto" w:fill="FDFEFF"/>
        <w:spacing w:before="150" w:beforeAutospacing="1" w:after="225" w:afterAutospacing="1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Найти общие затраты фирмы на логистику в стоимостном выражении, если известно, что фактический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 поставок продукции в год составил 1440 т при 16 поставках, что характеризует товарооборот склада фирмы за год, при этом планировалось – 14 поставок, фактический объем поставляемой партии составил 75 % от запланированного. Затраты фирмы на логистику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оставили 2,5 млн. руб. Стоимость 1 т груза – 40000 руб.</w:t>
      </w:r>
    </w:p>
    <w:p w14:paraId="2E9DE200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Решение:</w:t>
      </w:r>
    </w:p>
    <w:p w14:paraId="79F3E646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Затраты на логистику, приходящиеся на единицу товарооборота:</w:t>
      </w:r>
    </w:p>
    <w:p w14:paraId="1CD613B0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*100/О,</w:t>
      </w:r>
    </w:p>
    <w:p w14:paraId="5BBE19BB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затраты на логистику, приходящиеся на единицу товарооборота;</w:t>
      </w:r>
    </w:p>
    <w:p w14:paraId="26EE1020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затраты на логистику за период;</w:t>
      </w:r>
    </w:p>
    <w:p w14:paraId="15ED5267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– товаро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оборот за период.</w:t>
      </w:r>
    </w:p>
    <w:p w14:paraId="4C7EE46D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= 1440*40000 = 57,6 млн. руб.</w:t>
      </w:r>
    </w:p>
    <w:p w14:paraId="3B0E0D7A" w14:textId="77777777" w:rsidR="008C1016" w:rsidRDefault="00612075">
      <w:pPr>
        <w:widowControl/>
        <w:shd w:val="clear" w:color="auto" w:fill="FDFEFF"/>
        <w:spacing w:before="150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= 2,5*100/57,6 = 4,34%.</w:t>
      </w:r>
    </w:p>
    <w:p w14:paraId="2527E008" w14:textId="77777777" w:rsidR="008C1016" w:rsidRDefault="008C1016">
      <w:pPr>
        <w:widowControl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CA5D2A" w14:textId="77777777" w:rsidR="008C1016" w:rsidRDefault="008C1016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3F64C7F5" w14:textId="77777777" w:rsidR="008C1016" w:rsidRDefault="008C1016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</w:pPr>
    </w:p>
    <w:p w14:paraId="1857E895" w14:textId="77777777" w:rsidR="008C1016" w:rsidRDefault="008C101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F826927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08F2E1" w14:textId="77777777" w:rsidR="008C1016" w:rsidRDefault="008C1016">
      <w:pPr>
        <w:pStyle w:val="ab"/>
        <w:shd w:val="clear" w:color="auto" w:fill="FDFEFF"/>
        <w:spacing w:before="0" w:beforeAutospacing="0" w:after="0" w:afterAutospacing="0"/>
        <w:ind w:left="927"/>
        <w:jc w:val="both"/>
        <w:rPr>
          <w:color w:val="000000"/>
        </w:rPr>
      </w:pPr>
    </w:p>
    <w:p w14:paraId="775A895C" w14:textId="77777777" w:rsidR="008C1016" w:rsidRDefault="008C1016">
      <w:pPr>
        <w:pStyle w:val="ab"/>
        <w:shd w:val="clear" w:color="auto" w:fill="FDFEFF"/>
        <w:spacing w:before="0" w:beforeAutospacing="0" w:after="160" w:afterAutospacing="0" w:line="259" w:lineRule="auto"/>
        <w:jc w:val="both"/>
      </w:pPr>
    </w:p>
    <w:p w14:paraId="675496A4" w14:textId="77777777" w:rsidR="008C1016" w:rsidRDefault="008C1016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323F41C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58AA8C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935E34" w14:textId="77777777" w:rsidR="008C1016" w:rsidRDefault="008C10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91C435" w14:textId="77777777" w:rsidR="008C1016" w:rsidRDefault="008C1016">
      <w:pPr>
        <w:widowControl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2124DC" w14:textId="77777777" w:rsidR="008C1016" w:rsidRDefault="008C1016">
      <w:pPr>
        <w:pStyle w:val="ab"/>
        <w:shd w:val="clear" w:color="auto" w:fill="FDFEFF"/>
        <w:spacing w:line="259" w:lineRule="auto"/>
        <w:ind w:left="567"/>
        <w:jc w:val="both"/>
        <w:rPr>
          <w:color w:val="000000"/>
        </w:rPr>
      </w:pPr>
    </w:p>
    <w:p w14:paraId="128FCC4A" w14:textId="77777777" w:rsidR="008C1016" w:rsidRDefault="008C1016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319CE77C" w14:textId="77777777" w:rsidR="008C1016" w:rsidRDefault="008C1016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</w:pPr>
    </w:p>
    <w:sectPr w:rsidR="008C1016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F1C7B" w14:textId="77777777" w:rsidR="00612075" w:rsidRDefault="00612075">
      <w:r>
        <w:separator/>
      </w:r>
    </w:p>
  </w:endnote>
  <w:endnote w:type="continuationSeparator" w:id="0">
    <w:p w14:paraId="4448AB00" w14:textId="77777777" w:rsidR="00612075" w:rsidRDefault="0061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XO Thames">
    <w:altName w:val="Cambria"/>
    <w:charset w:val="00"/>
    <w:family w:val="roman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0D5D3" w14:textId="77777777" w:rsidR="00612075" w:rsidRDefault="00612075">
      <w:r>
        <w:separator/>
      </w:r>
    </w:p>
  </w:footnote>
  <w:footnote w:type="continuationSeparator" w:id="0">
    <w:p w14:paraId="7FC3A789" w14:textId="77777777" w:rsidR="00612075" w:rsidRDefault="0061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831414"/>
    <w:multiLevelType w:val="singleLevel"/>
    <w:tmpl w:val="A083141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24A076A"/>
    <w:multiLevelType w:val="multilevel"/>
    <w:tmpl w:val="324A0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25688"/>
    <w:multiLevelType w:val="multilevel"/>
    <w:tmpl w:val="7CD2568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6AD"/>
    <w:rsid w:val="000009FF"/>
    <w:rsid w:val="00007B48"/>
    <w:rsid w:val="00035328"/>
    <w:rsid w:val="000427EF"/>
    <w:rsid w:val="00045137"/>
    <w:rsid w:val="00061981"/>
    <w:rsid w:val="00064E62"/>
    <w:rsid w:val="000930A2"/>
    <w:rsid w:val="000B4D04"/>
    <w:rsid w:val="000B56F7"/>
    <w:rsid w:val="000E1112"/>
    <w:rsid w:val="000E2D4E"/>
    <w:rsid w:val="000E402C"/>
    <w:rsid w:val="000F61A2"/>
    <w:rsid w:val="00102C0A"/>
    <w:rsid w:val="001051A6"/>
    <w:rsid w:val="00123CFD"/>
    <w:rsid w:val="0012490E"/>
    <w:rsid w:val="00133237"/>
    <w:rsid w:val="00140676"/>
    <w:rsid w:val="00144207"/>
    <w:rsid w:val="0015172C"/>
    <w:rsid w:val="0016136D"/>
    <w:rsid w:val="00166835"/>
    <w:rsid w:val="0016721F"/>
    <w:rsid w:val="00167866"/>
    <w:rsid w:val="00173DC7"/>
    <w:rsid w:val="00191F55"/>
    <w:rsid w:val="001B7484"/>
    <w:rsid w:val="001D6692"/>
    <w:rsid w:val="002061C6"/>
    <w:rsid w:val="00214CD1"/>
    <w:rsid w:val="0021633A"/>
    <w:rsid w:val="002244E7"/>
    <w:rsid w:val="002252C3"/>
    <w:rsid w:val="00236A8D"/>
    <w:rsid w:val="00260793"/>
    <w:rsid w:val="002673C8"/>
    <w:rsid w:val="00281028"/>
    <w:rsid w:val="00282AD8"/>
    <w:rsid w:val="00294709"/>
    <w:rsid w:val="002957E2"/>
    <w:rsid w:val="002C1131"/>
    <w:rsid w:val="002D03E9"/>
    <w:rsid w:val="002D7460"/>
    <w:rsid w:val="002E32F8"/>
    <w:rsid w:val="002E7205"/>
    <w:rsid w:val="00322D7D"/>
    <w:rsid w:val="0032726A"/>
    <w:rsid w:val="00330773"/>
    <w:rsid w:val="003351D4"/>
    <w:rsid w:val="003448F7"/>
    <w:rsid w:val="0034588A"/>
    <w:rsid w:val="00357548"/>
    <w:rsid w:val="00377897"/>
    <w:rsid w:val="003844BB"/>
    <w:rsid w:val="003A009C"/>
    <w:rsid w:val="003C24DC"/>
    <w:rsid w:val="003C7D43"/>
    <w:rsid w:val="003D14ED"/>
    <w:rsid w:val="003D181D"/>
    <w:rsid w:val="003D4E9E"/>
    <w:rsid w:val="003E2DE6"/>
    <w:rsid w:val="003F165D"/>
    <w:rsid w:val="003F18CD"/>
    <w:rsid w:val="003F5E1E"/>
    <w:rsid w:val="004032AC"/>
    <w:rsid w:val="00416ACD"/>
    <w:rsid w:val="00417998"/>
    <w:rsid w:val="00421DF7"/>
    <w:rsid w:val="004323E0"/>
    <w:rsid w:val="00436ABC"/>
    <w:rsid w:val="004515D1"/>
    <w:rsid w:val="00457CBC"/>
    <w:rsid w:val="00474670"/>
    <w:rsid w:val="00475944"/>
    <w:rsid w:val="00475CB8"/>
    <w:rsid w:val="00482109"/>
    <w:rsid w:val="004831FE"/>
    <w:rsid w:val="00487061"/>
    <w:rsid w:val="004927B4"/>
    <w:rsid w:val="004A3517"/>
    <w:rsid w:val="004B5D9F"/>
    <w:rsid w:val="004C3C85"/>
    <w:rsid w:val="004E4631"/>
    <w:rsid w:val="005022E7"/>
    <w:rsid w:val="00505216"/>
    <w:rsid w:val="0051059D"/>
    <w:rsid w:val="00523B78"/>
    <w:rsid w:val="00523E25"/>
    <w:rsid w:val="00540935"/>
    <w:rsid w:val="00540E00"/>
    <w:rsid w:val="0056000C"/>
    <w:rsid w:val="005650BE"/>
    <w:rsid w:val="00570F7E"/>
    <w:rsid w:val="005730F3"/>
    <w:rsid w:val="00573619"/>
    <w:rsid w:val="0059373B"/>
    <w:rsid w:val="00593BC4"/>
    <w:rsid w:val="005965D9"/>
    <w:rsid w:val="005A08B3"/>
    <w:rsid w:val="005B600A"/>
    <w:rsid w:val="005B6195"/>
    <w:rsid w:val="005B6800"/>
    <w:rsid w:val="005C0535"/>
    <w:rsid w:val="005C0BAA"/>
    <w:rsid w:val="005C63ED"/>
    <w:rsid w:val="005C75DF"/>
    <w:rsid w:val="005D71D4"/>
    <w:rsid w:val="00612075"/>
    <w:rsid w:val="006226AD"/>
    <w:rsid w:val="00640BEA"/>
    <w:rsid w:val="006460E7"/>
    <w:rsid w:val="00650CAA"/>
    <w:rsid w:val="00651DF9"/>
    <w:rsid w:val="00652D59"/>
    <w:rsid w:val="00655147"/>
    <w:rsid w:val="006737B5"/>
    <w:rsid w:val="00682493"/>
    <w:rsid w:val="006865EB"/>
    <w:rsid w:val="006B5C92"/>
    <w:rsid w:val="006B61CB"/>
    <w:rsid w:val="006B6D47"/>
    <w:rsid w:val="006B74C8"/>
    <w:rsid w:val="006D5A29"/>
    <w:rsid w:val="006D5CEC"/>
    <w:rsid w:val="006E7EDC"/>
    <w:rsid w:val="006F51CB"/>
    <w:rsid w:val="00701625"/>
    <w:rsid w:val="00720918"/>
    <w:rsid w:val="00720B7A"/>
    <w:rsid w:val="007266F2"/>
    <w:rsid w:val="00731232"/>
    <w:rsid w:val="0073261B"/>
    <w:rsid w:val="007340D0"/>
    <w:rsid w:val="00741090"/>
    <w:rsid w:val="00745108"/>
    <w:rsid w:val="0074647F"/>
    <w:rsid w:val="00761D16"/>
    <w:rsid w:val="00764D54"/>
    <w:rsid w:val="00766E8D"/>
    <w:rsid w:val="00772AFA"/>
    <w:rsid w:val="00775498"/>
    <w:rsid w:val="00781D0C"/>
    <w:rsid w:val="00783C92"/>
    <w:rsid w:val="00786F9B"/>
    <w:rsid w:val="00790178"/>
    <w:rsid w:val="007938C0"/>
    <w:rsid w:val="007A1CEC"/>
    <w:rsid w:val="007A36E7"/>
    <w:rsid w:val="007B1340"/>
    <w:rsid w:val="007B14AC"/>
    <w:rsid w:val="007C165C"/>
    <w:rsid w:val="007E47AD"/>
    <w:rsid w:val="007F0902"/>
    <w:rsid w:val="007F4487"/>
    <w:rsid w:val="00803547"/>
    <w:rsid w:val="00827AAC"/>
    <w:rsid w:val="00836CAE"/>
    <w:rsid w:val="00840714"/>
    <w:rsid w:val="00857630"/>
    <w:rsid w:val="00865657"/>
    <w:rsid w:val="008929BF"/>
    <w:rsid w:val="00892A13"/>
    <w:rsid w:val="00893FA2"/>
    <w:rsid w:val="008C1016"/>
    <w:rsid w:val="008D20D9"/>
    <w:rsid w:val="008D76C5"/>
    <w:rsid w:val="008E567A"/>
    <w:rsid w:val="008E752F"/>
    <w:rsid w:val="0092363C"/>
    <w:rsid w:val="00927DF6"/>
    <w:rsid w:val="00927E73"/>
    <w:rsid w:val="00927FB0"/>
    <w:rsid w:val="0094461E"/>
    <w:rsid w:val="009451E4"/>
    <w:rsid w:val="0096241E"/>
    <w:rsid w:val="00963DBF"/>
    <w:rsid w:val="009641BB"/>
    <w:rsid w:val="0098395F"/>
    <w:rsid w:val="009850B0"/>
    <w:rsid w:val="009C69BC"/>
    <w:rsid w:val="00A006DD"/>
    <w:rsid w:val="00A05B5B"/>
    <w:rsid w:val="00A43989"/>
    <w:rsid w:val="00A563D5"/>
    <w:rsid w:val="00A60183"/>
    <w:rsid w:val="00A64603"/>
    <w:rsid w:val="00A654BC"/>
    <w:rsid w:val="00A75FAC"/>
    <w:rsid w:val="00A81921"/>
    <w:rsid w:val="00A81E15"/>
    <w:rsid w:val="00A8291B"/>
    <w:rsid w:val="00A85762"/>
    <w:rsid w:val="00A8794B"/>
    <w:rsid w:val="00A97C77"/>
    <w:rsid w:val="00A97F62"/>
    <w:rsid w:val="00AB481A"/>
    <w:rsid w:val="00AC0224"/>
    <w:rsid w:val="00AC34E8"/>
    <w:rsid w:val="00AC39DB"/>
    <w:rsid w:val="00AE5B71"/>
    <w:rsid w:val="00AF0B78"/>
    <w:rsid w:val="00B00428"/>
    <w:rsid w:val="00B00D4D"/>
    <w:rsid w:val="00B01542"/>
    <w:rsid w:val="00B0154B"/>
    <w:rsid w:val="00B01D0A"/>
    <w:rsid w:val="00B02CA9"/>
    <w:rsid w:val="00B06947"/>
    <w:rsid w:val="00B233C7"/>
    <w:rsid w:val="00B2775C"/>
    <w:rsid w:val="00B72981"/>
    <w:rsid w:val="00B72FD4"/>
    <w:rsid w:val="00BA2114"/>
    <w:rsid w:val="00BA32D2"/>
    <w:rsid w:val="00BB7AB2"/>
    <w:rsid w:val="00BD0B2A"/>
    <w:rsid w:val="00BD530E"/>
    <w:rsid w:val="00BE15BA"/>
    <w:rsid w:val="00BF14E7"/>
    <w:rsid w:val="00BF72A8"/>
    <w:rsid w:val="00C16A4B"/>
    <w:rsid w:val="00C16CDC"/>
    <w:rsid w:val="00C324CD"/>
    <w:rsid w:val="00C33D16"/>
    <w:rsid w:val="00C475D2"/>
    <w:rsid w:val="00C6004E"/>
    <w:rsid w:val="00C608A5"/>
    <w:rsid w:val="00C77A91"/>
    <w:rsid w:val="00C818E3"/>
    <w:rsid w:val="00CA0C9E"/>
    <w:rsid w:val="00CB4C03"/>
    <w:rsid w:val="00CB62D5"/>
    <w:rsid w:val="00CB7F1D"/>
    <w:rsid w:val="00CC44D9"/>
    <w:rsid w:val="00CC7112"/>
    <w:rsid w:val="00CE1B1C"/>
    <w:rsid w:val="00CE1F77"/>
    <w:rsid w:val="00CE3F83"/>
    <w:rsid w:val="00CE5A0A"/>
    <w:rsid w:val="00CF0467"/>
    <w:rsid w:val="00CF49D9"/>
    <w:rsid w:val="00D141A5"/>
    <w:rsid w:val="00D44EC0"/>
    <w:rsid w:val="00D73B4C"/>
    <w:rsid w:val="00D80119"/>
    <w:rsid w:val="00D85AA7"/>
    <w:rsid w:val="00DB066D"/>
    <w:rsid w:val="00DB4258"/>
    <w:rsid w:val="00DC25F9"/>
    <w:rsid w:val="00DE181D"/>
    <w:rsid w:val="00DE6B90"/>
    <w:rsid w:val="00DF2E09"/>
    <w:rsid w:val="00E10F90"/>
    <w:rsid w:val="00E12C79"/>
    <w:rsid w:val="00E256CF"/>
    <w:rsid w:val="00E652DC"/>
    <w:rsid w:val="00E8060A"/>
    <w:rsid w:val="00E86B18"/>
    <w:rsid w:val="00E86BF2"/>
    <w:rsid w:val="00E8712A"/>
    <w:rsid w:val="00E93B22"/>
    <w:rsid w:val="00E96ABC"/>
    <w:rsid w:val="00EB35D6"/>
    <w:rsid w:val="00EC2C2B"/>
    <w:rsid w:val="00EC5BEE"/>
    <w:rsid w:val="00ED2A62"/>
    <w:rsid w:val="00ED74F5"/>
    <w:rsid w:val="00EE4CFC"/>
    <w:rsid w:val="00F04D8B"/>
    <w:rsid w:val="00F162D3"/>
    <w:rsid w:val="00F31B0B"/>
    <w:rsid w:val="00F325D8"/>
    <w:rsid w:val="00F55C45"/>
    <w:rsid w:val="00F75622"/>
    <w:rsid w:val="00F90EBE"/>
    <w:rsid w:val="00F921A6"/>
    <w:rsid w:val="00FA0B43"/>
    <w:rsid w:val="00FA670F"/>
    <w:rsid w:val="00FB3252"/>
    <w:rsid w:val="00FC0664"/>
    <w:rsid w:val="00FC4D37"/>
    <w:rsid w:val="00FC502E"/>
    <w:rsid w:val="00FE3D96"/>
    <w:rsid w:val="06E86BF4"/>
    <w:rsid w:val="0C794EB2"/>
    <w:rsid w:val="0E3E0B65"/>
    <w:rsid w:val="155907F4"/>
    <w:rsid w:val="184F3D45"/>
    <w:rsid w:val="20697989"/>
    <w:rsid w:val="23892BC3"/>
    <w:rsid w:val="23A7418C"/>
    <w:rsid w:val="32475531"/>
    <w:rsid w:val="35A83159"/>
    <w:rsid w:val="37A91F2C"/>
    <w:rsid w:val="3B7D3888"/>
    <w:rsid w:val="3CDF1D67"/>
    <w:rsid w:val="3F892AEE"/>
    <w:rsid w:val="47DF7B0C"/>
    <w:rsid w:val="4A2269C7"/>
    <w:rsid w:val="53794425"/>
    <w:rsid w:val="559F7953"/>
    <w:rsid w:val="5AC825CF"/>
    <w:rsid w:val="6EB763E2"/>
    <w:rsid w:val="776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38EE"/>
  <w15:docId w15:val="{48D79293-91C3-47AC-A961-0121E1B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rPr>
      <w:lang w:val="en-US"/>
    </w:rPr>
  </w:style>
  <w:style w:type="paragraph" w:customStyle="1" w:styleId="Default">
    <w:name w:val="Default"/>
    <w:rPr>
      <w:rFonts w:ascii="XO Thames" w:eastAsia="Times New Roman" w:hAnsi="XO Thames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Подкуйко Регина Владимировна</cp:lastModifiedBy>
  <cp:revision>202</cp:revision>
  <cp:lastPrinted>2019-05-30T03:34:00Z</cp:lastPrinted>
  <dcterms:created xsi:type="dcterms:W3CDTF">2021-05-27T09:44:00Z</dcterms:created>
  <dcterms:modified xsi:type="dcterms:W3CDTF">2025-04-15T04:30:00Z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5627D24DB6A34F059B45B819B7E58BBB_12</vt:lpwstr>
  </property>
</Properties>
</file>